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hanging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RESPUESTA ADICIONALES A OBSERVACIONES FECU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relación a su primera respuesta por favor señalar si las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personas seleccionadas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efectivamente para recibir sus beneficios son vulnerables por encontrarse en situación de pobreza.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Las personas seleccionadas para recibir nuestros beneficios son efectivamente personas de alto índice de vulnerabilidad, ya que provienen de sectores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caracterizados por altos niveles de pobreza, elevada delincuencia, bajos índices de escolaridad y una alta concentración de personas con recursos financieros y económicos limitados.</w:t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su mayoría, nuestros beneficiarios pertenecen al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45% más pobre del país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según la clasificación del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 Social de Hogares (RSH)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Esta herramienta oficial del Estado permite identificar a las personas y familias en situación de vulnerabilidad socioeconómica, considerando tanto sus ingresos como otras dimensiones que afectan su calidad de vida.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Desde una perspectiva más amplia, nuestras emprendedoras y emprendedores enfrentan condiciones que los ubican en situación de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pobreza multidimensional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concepto que va más allá del ingreso monetario y considera carencias en áreas clave como educación, trabajo y seguridad social, salud, vivienda y entorno y redes y cohesión social.</w:t>
      </w:r>
    </w:p>
    <w:p w:rsidR="00000000" w:rsidDel="00000000" w:rsidP="00000000" w:rsidRDefault="00000000" w:rsidRPr="00000000" w14:paraId="0000000A">
      <w:pPr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La selección de nuestros beneficiarios está diseñada para priorizar a quienes enfrentan estas múltiples barreras, asegurando que los recursos otorgados contribuyan a mejorar sus condiciones de vida y generar oportunidades reales de desarrollo económico y social.</w:t>
      </w:r>
    </w:p>
    <w:p w:rsidR="00000000" w:rsidDel="00000000" w:rsidP="00000000" w:rsidRDefault="00000000" w:rsidRPr="00000000" w14:paraId="0000000B">
      <w:pPr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base a su segunda respuesta no queda claro el rol que tienen los bancos señalados en la página 7 de su memoria, que se asocian a montos y fecha de entrega de microcréditos. Por favor aclarar el rol de esos bancos en el desarrollo de su actividad, ya que en la respuesta dada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sólo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identifica un vínculo, mediante un contrato, entre el "emprendedor" y Fundación Crecer, no quedando clara la intervención entre los "bancos comunitarios", que según su balance, entre los códigos 100202 al 100211 y 100220 podrían recibir transferencias de la misma Fundación.</w:t>
      </w:r>
    </w:p>
    <w:p w:rsidR="00000000" w:rsidDel="00000000" w:rsidP="00000000" w:rsidRDefault="00000000" w:rsidRPr="00000000" w14:paraId="0000000E">
      <w:pPr>
        <w:spacing w:after="280" w:before="28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Los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bancos comunitarios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en Fundación Crecer son el mecanismo a través del cual entregamos microcréditos a emprendedores en situación de pobreza. Nuestro modelo se inspira en el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Banco Grameen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creado por el economista y premio Nobel de la Paz,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Muhammad Yunus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y está diseñado para facilitar el acceso al crédito a personas que no califican para financiamiento en la banca tradicional.</w:t>
      </w:r>
    </w:p>
    <w:p w:rsidR="00000000" w:rsidDel="00000000" w:rsidP="00000000" w:rsidRDefault="00000000" w:rsidRPr="00000000" w14:paraId="0000000F">
      <w:pPr>
        <w:spacing w:after="280" w:before="28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Un Banco Comunitario está conformado por grupos de personas entre 10 y 20 emprendedores que se conocen entre sí y que, aunque reciben financiamiento de manera individual, funcionan bajo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un sistema de aval solidario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. Esto significa que todos los miembros del grupo se comprometen y asumen colectivamente la responsabilidad de la devolución de los microcréditos otorgados.</w:t>
      </w:r>
    </w:p>
    <w:p w:rsidR="00000000" w:rsidDel="00000000" w:rsidP="00000000" w:rsidRDefault="00000000" w:rsidRPr="00000000" w14:paraId="00000010">
      <w:pPr>
        <w:spacing w:after="280" w:before="28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El rol de los bancos comunitarios en nuestro modelo es fundamental, ya que: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28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Funcionan como una estructura de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apoyo mutuo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donde los emprendedores no solo acceden a financiamiento, sino que también generan confianza y colaboración entre ellos.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Facilitan la entrega y recuperación de los microcréditos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al operar en ciclos de financiamiento organizados.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80" w:before="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Fomentan la educación en múltiples dimensiones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no solo en el ámbito financiero, sino también en habilidades blandas, autocuidado, construcción de redes y cohesión social en el territorio donde opera la Fundación.</w:t>
      </w:r>
    </w:p>
    <w:p w:rsidR="00000000" w:rsidDel="00000000" w:rsidP="00000000" w:rsidRDefault="00000000" w:rsidRPr="00000000" w14:paraId="00000014">
      <w:pPr>
        <w:spacing w:after="280" w:before="28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Desde el punto de vista financiero,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los emprendedores reciben microcréditos directamente de la Fundación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y los bancos comunitarios no manejan los fondos de manera autónoma ni reciben transferencias directas. En su lugar, estos funcionan como una estructura organizativa y de corresponsabilidad para garantizar el buen uso y devolución de los recursos.</w:t>
      </w:r>
    </w:p>
    <w:p w:rsidR="00000000" w:rsidDel="00000000" w:rsidP="00000000" w:rsidRDefault="00000000" w:rsidRPr="00000000" w14:paraId="00000015">
      <w:pPr>
        <w:spacing w:after="280" w:before="28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Los créditos se otorgan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tres veces al año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con ciclos de pago de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16 semanas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período en el cual los beneficiarios deben devolver el capital recibido junto con los intereses correspondientes. Como parte de su compromiso, los participantes deben asistir a reuniones semanales y talleres de capacitación.</w:t>
      </w:r>
    </w:p>
    <w:p w:rsidR="00000000" w:rsidDel="00000000" w:rsidP="00000000" w:rsidRDefault="00000000" w:rsidRPr="00000000" w14:paraId="00000016">
      <w:pPr>
        <w:spacing w:after="280" w:before="28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Los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talleres de capacitación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fortalecen no solo el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desarrollo financiero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de los emprendedores, sino también su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desarrollo personal y calidad de vida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impactando positivamente en ellos, sus familias y su entorno. </w:t>
      </w:r>
    </w:p>
    <w:p w:rsidR="00000000" w:rsidDel="00000000" w:rsidP="00000000" w:rsidRDefault="00000000" w:rsidRPr="00000000" w14:paraId="00000017">
      <w:pPr>
        <w:spacing w:before="28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Este enfoque integral busca que los beneficiarios no solo mejoren su situación económica, sino que también fortalezcan sus redes de apoyo y generen un impacto social positivo en sus comunidades.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03348C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D90C7C"/>
    <w:pPr>
      <w:spacing w:after="100" w:afterAutospacing="1" w:before="100" w:beforeAutospacing="1"/>
    </w:pPr>
    <w:rPr>
      <w:rFonts w:ascii="Times New Roman" w:cs="Times New Roman" w:hAnsi="Times New Roman"/>
      <w:sz w:val="24"/>
      <w:lang w:eastAsia="es-ES_tradnl" w:val="es-CL"/>
    </w:rPr>
  </w:style>
  <w:style w:type="character" w:styleId="Textoennegrita">
    <w:name w:val="Strong"/>
    <w:basedOn w:val="Fuentedeprrafopredeter"/>
    <w:uiPriority w:val="22"/>
    <w:qFormat w:val="1"/>
    <w:rsid w:val="00D90C7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hGsDz99+gOFrb9gdB7fq0Vu0uA==">CgMxLjAyCGguZ2pkZ3hzOAByITF2WUVaZnRSNnVwMkFBTXVLU1hsSnotaEpfU3FCYnR5aQ==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2025-03-14T15:09:00Z</dcterms:created>
  <dc:creator>Elisa Risopatrón</dc:creator>
</cp:coreProperties>
</file>