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724B" w:rsidRDefault="00F5724B">
      <w:pPr>
        <w:ind w:left="720" w:hanging="360"/>
        <w:jc w:val="both"/>
      </w:pPr>
    </w:p>
    <w:p w14:paraId="00000002" w14:textId="1F115E8A" w:rsidR="00F5724B" w:rsidRDefault="00DF59A2">
      <w:pPr>
        <w:jc w:val="center"/>
        <w:rPr>
          <w:rFonts w:ascii="Century Gothic" w:eastAsia="Century Gothic" w:hAnsi="Century Gothic" w:cs="Century Gothic"/>
          <w:b/>
          <w:u w:val="single"/>
        </w:rPr>
      </w:pPr>
      <w:r>
        <w:rPr>
          <w:rFonts w:ascii="Century Gothic" w:eastAsia="Century Gothic" w:hAnsi="Century Gothic" w:cs="Century Gothic"/>
          <w:b/>
          <w:u w:val="single"/>
        </w:rPr>
        <w:t xml:space="preserve">RESPUESTA ADICIONALES A OBSERVACIONES </w:t>
      </w:r>
      <w:r w:rsidR="00F61264">
        <w:rPr>
          <w:rFonts w:ascii="Century Gothic" w:eastAsia="Century Gothic" w:hAnsi="Century Gothic" w:cs="Century Gothic"/>
          <w:b/>
          <w:u w:val="single"/>
        </w:rPr>
        <w:t>V</w:t>
      </w:r>
      <w:r w:rsidR="00F93A9A">
        <w:rPr>
          <w:rFonts w:ascii="Century Gothic" w:eastAsia="Century Gothic" w:hAnsi="Century Gothic" w:cs="Century Gothic"/>
          <w:b/>
          <w:u w:val="single"/>
        </w:rPr>
        <w:t>5</w:t>
      </w:r>
    </w:p>
    <w:p w14:paraId="38350C71" w14:textId="662B24E3" w:rsidR="00F61264" w:rsidRDefault="00F61264">
      <w:pPr>
        <w:jc w:val="center"/>
        <w:rPr>
          <w:rFonts w:ascii="Century Gothic" w:eastAsia="Century Gothic" w:hAnsi="Century Gothic" w:cs="Century Gothic"/>
          <w:b/>
          <w:u w:val="single"/>
        </w:rPr>
      </w:pPr>
    </w:p>
    <w:p w14:paraId="55BBC6A9" w14:textId="1FE87F98"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t>Estimad</w:t>
      </w:r>
      <w:r w:rsidR="00F93A9A">
        <w:rPr>
          <w:rFonts w:ascii="Century Gothic" w:eastAsia="Century Gothic" w:hAnsi="Century Gothic" w:cs="Century Gothic"/>
          <w:color w:val="000000"/>
        </w:rPr>
        <w:t>os</w:t>
      </w:r>
      <w:r w:rsidRPr="00F61264">
        <w:rPr>
          <w:rFonts w:ascii="Century Gothic" w:eastAsia="Century Gothic" w:hAnsi="Century Gothic" w:cs="Century Gothic"/>
          <w:color w:val="000000"/>
        </w:rPr>
        <w:t xml:space="preserve"> </w:t>
      </w:r>
      <w:r w:rsidR="00F93A9A">
        <w:rPr>
          <w:rFonts w:ascii="Century Gothic" w:eastAsia="Century Gothic" w:hAnsi="Century Gothic" w:cs="Century Gothic"/>
          <w:color w:val="000000"/>
        </w:rPr>
        <w:t xml:space="preserve">adjunto respuestas solicitadas en observaciones de acuerdo </w:t>
      </w:r>
      <w:r w:rsidRPr="00F61264">
        <w:rPr>
          <w:rFonts w:ascii="Century Gothic" w:eastAsia="Century Gothic" w:hAnsi="Century Gothic" w:cs="Century Gothic"/>
          <w:color w:val="000000"/>
        </w:rPr>
        <w:t>al requerimiento de incorporación en el registro de entidades donatarias:</w:t>
      </w:r>
      <w:r w:rsidRPr="00F61264">
        <w:rPr>
          <w:rFonts w:ascii="Century Gothic" w:eastAsia="Century Gothic" w:hAnsi="Century Gothic" w:cs="Century Gothic"/>
          <w:color w:val="000000"/>
        </w:rPr>
        <w:br/>
      </w: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1. En relación a su primera respuesta por favor señalar si las personas son seleccionadas efectivamente para recibir sus beneficios son vulnerables por encontrarse en situación de pobreza.</w:t>
      </w:r>
    </w:p>
    <w:p w14:paraId="5C366F74" w14:textId="77777777" w:rsidR="00F61264" w:rsidRDefault="00F61264" w:rsidP="00F61264">
      <w:pPr>
        <w:jc w:val="both"/>
        <w:rPr>
          <w:rFonts w:ascii="Century Gothic" w:eastAsia="Century Gothic" w:hAnsi="Century Gothic" w:cs="Century Gothic"/>
        </w:rPr>
      </w:pPr>
      <w:r>
        <w:rPr>
          <w:rFonts w:ascii="Century Gothic" w:eastAsia="Century Gothic" w:hAnsi="Century Gothic" w:cs="Century Gothic"/>
        </w:rPr>
        <w:t>Las personas seleccionadas para recibir nuestros beneficios son efectivamente personas de alto índice de vulnerabilidad, ya que provienen de sectores</w:t>
      </w:r>
      <w:r>
        <w:t xml:space="preserve"> </w:t>
      </w:r>
      <w:r>
        <w:rPr>
          <w:rFonts w:ascii="Century Gothic" w:eastAsia="Century Gothic" w:hAnsi="Century Gothic" w:cs="Century Gothic"/>
        </w:rPr>
        <w:t>caracterizados por altos niveles de pobreza, elevada delincuencia, bajos índices de escolaridad y una alta concentración de personas con recursos financieros y económicos limitados.</w:t>
      </w:r>
    </w:p>
    <w:p w14:paraId="2F5E8F0E" w14:textId="77777777" w:rsidR="00F61264" w:rsidRDefault="00F61264" w:rsidP="00F61264">
      <w:pPr>
        <w:jc w:val="both"/>
        <w:rPr>
          <w:rFonts w:ascii="Century Gothic" w:eastAsia="Century Gothic" w:hAnsi="Century Gothic" w:cs="Century Gothic"/>
        </w:rPr>
      </w:pPr>
    </w:p>
    <w:p w14:paraId="59A2E4BA" w14:textId="77777777" w:rsidR="00F61264" w:rsidRDefault="00F61264" w:rsidP="00F61264">
      <w:p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su mayoría, nuestros beneficiarios pertenecen al </w:t>
      </w:r>
      <w:r>
        <w:rPr>
          <w:rFonts w:ascii="Century Gothic" w:eastAsia="Century Gothic" w:hAnsi="Century Gothic" w:cs="Century Gothic"/>
          <w:b/>
          <w:color w:val="000000"/>
        </w:rPr>
        <w:t>45% más pobre del país</w:t>
      </w:r>
      <w:r>
        <w:rPr>
          <w:rFonts w:ascii="Century Gothic" w:eastAsia="Century Gothic" w:hAnsi="Century Gothic" w:cs="Century Gothic"/>
          <w:color w:val="000000"/>
        </w:rPr>
        <w:t xml:space="preserve">, según la clasificación del </w:t>
      </w:r>
      <w:r>
        <w:rPr>
          <w:rFonts w:ascii="Century Gothic" w:eastAsia="Century Gothic" w:hAnsi="Century Gothic" w:cs="Century Gothic"/>
          <w:b/>
          <w:color w:val="000000"/>
        </w:rPr>
        <w:t>Registro Social de Hogares (RSH)</w:t>
      </w:r>
      <w:r>
        <w:rPr>
          <w:rFonts w:ascii="Century Gothic" w:eastAsia="Century Gothic" w:hAnsi="Century Gothic" w:cs="Century Gothic"/>
          <w:color w:val="000000"/>
        </w:rPr>
        <w:t>. Esta herramienta oficial del Estado permite identificar a las personas y familias en situación de vulnerabilidad socioeconómica, considerando tanto sus ingresos como otras dimensiones que afectan su calidad de vida.</w:t>
      </w:r>
    </w:p>
    <w:p w14:paraId="592D88D6" w14:textId="77777777" w:rsidR="00F61264" w:rsidRDefault="00F61264" w:rsidP="00F61264">
      <w:p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Desde una perspectiva más amplia, nuestras emprendedoras y emprendedores enfrentan condiciones que los ubican en situación de </w:t>
      </w:r>
      <w:r>
        <w:rPr>
          <w:rFonts w:ascii="Century Gothic" w:eastAsia="Century Gothic" w:hAnsi="Century Gothic" w:cs="Century Gothic"/>
          <w:b/>
          <w:color w:val="000000"/>
        </w:rPr>
        <w:t>pobreza multidimensional</w:t>
      </w:r>
      <w:r>
        <w:rPr>
          <w:rFonts w:ascii="Century Gothic" w:eastAsia="Century Gothic" w:hAnsi="Century Gothic" w:cs="Century Gothic"/>
          <w:color w:val="000000"/>
        </w:rPr>
        <w:t>, concepto que va más allá del ingreso monetario y considera carencias en áreas clave como educación, trabajo y seguridad social, salud, vivienda y entorno y redes y cohesión social.</w:t>
      </w:r>
    </w:p>
    <w:p w14:paraId="44F73EF1" w14:textId="5AE6EA48" w:rsidR="00F61264" w:rsidRPr="00F61264" w:rsidRDefault="00F61264" w:rsidP="00F61264">
      <w:pPr>
        <w:jc w:val="both"/>
        <w:rPr>
          <w:rFonts w:ascii="Century Gothic" w:eastAsia="Century Gothic" w:hAnsi="Century Gothic" w:cs="Century Gothic"/>
        </w:rPr>
      </w:pPr>
      <w:r>
        <w:rPr>
          <w:rFonts w:ascii="Century Gothic" w:eastAsia="Century Gothic" w:hAnsi="Century Gothic" w:cs="Century Gothic"/>
        </w:rPr>
        <w:t>La selección de nuestros beneficiarios está diseñada para priorizar a quienes enfrentan estas múltiples barreras, asegurando que los recursos otorgados contribuyan a mejorar sus condiciones de vida y generar oportunidades reales de desarrollo económico y social.</w:t>
      </w:r>
    </w:p>
    <w:p w14:paraId="50160942" w14:textId="77777777" w:rsidR="00F61264" w:rsidRDefault="00F61264" w:rsidP="00F61264">
      <w:pPr>
        <w:jc w:val="both"/>
        <w:rPr>
          <w:rFonts w:ascii="Century Gothic" w:eastAsia="Century Gothic" w:hAnsi="Century Gothic" w:cs="Century Gothic"/>
          <w:color w:val="000000"/>
        </w:rPr>
      </w:pPr>
    </w:p>
    <w:p w14:paraId="666109EB" w14:textId="015037DA"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2. En base a su segunda respuesta no queda claro el rol que tienen los bancos señalados en la página 7 de su memoria, que se asocian a montos y fecha de entrega de microcréditos. Por favor aclarar el rol de esos bancos en el desarrollo de su actividad, ya que en la respuesta dada solo se identifica un vínculo, mediante un contrato, entre el "emprendedor" y Fundación Crecer, no quedando clara la intervención entre los "bancos comunitarios", que según su balance, entre los códigos 100202 al 100211 y 100220 podrían recibir transferencias de la misma Fundación.</w:t>
      </w:r>
    </w:p>
    <w:p w14:paraId="1F9DAA3A"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Los </w:t>
      </w:r>
      <w:r>
        <w:rPr>
          <w:rFonts w:ascii="Century Gothic" w:eastAsia="Century Gothic" w:hAnsi="Century Gothic" w:cs="Century Gothic"/>
          <w:b/>
        </w:rPr>
        <w:t>bancos comunitarios</w:t>
      </w:r>
      <w:r>
        <w:rPr>
          <w:rFonts w:ascii="Century Gothic" w:eastAsia="Century Gothic" w:hAnsi="Century Gothic" w:cs="Century Gothic"/>
        </w:rPr>
        <w:t xml:space="preserve"> en Fundación Crecer son el mecanismo a través del cual entregamos microcréditos a emprendedores en situación de pobreza. Nuestro modelo se inspira en el </w:t>
      </w:r>
      <w:r>
        <w:rPr>
          <w:rFonts w:ascii="Century Gothic" w:eastAsia="Century Gothic" w:hAnsi="Century Gothic" w:cs="Century Gothic"/>
          <w:b/>
        </w:rPr>
        <w:t>Banco Grameen</w:t>
      </w:r>
      <w:r>
        <w:rPr>
          <w:rFonts w:ascii="Century Gothic" w:eastAsia="Century Gothic" w:hAnsi="Century Gothic" w:cs="Century Gothic"/>
        </w:rPr>
        <w:t xml:space="preserve">, creado por el economista y premio Nobel de la Paz, </w:t>
      </w:r>
      <w:r>
        <w:rPr>
          <w:rFonts w:ascii="Century Gothic" w:eastAsia="Century Gothic" w:hAnsi="Century Gothic" w:cs="Century Gothic"/>
          <w:b/>
        </w:rPr>
        <w:t>Muhammad Yunus</w:t>
      </w:r>
      <w:r>
        <w:rPr>
          <w:rFonts w:ascii="Century Gothic" w:eastAsia="Century Gothic" w:hAnsi="Century Gothic" w:cs="Century Gothic"/>
        </w:rPr>
        <w:t xml:space="preserve">, y está diseñado </w:t>
      </w:r>
      <w:r>
        <w:rPr>
          <w:rFonts w:ascii="Century Gothic" w:eastAsia="Century Gothic" w:hAnsi="Century Gothic" w:cs="Century Gothic"/>
        </w:rPr>
        <w:lastRenderedPageBreak/>
        <w:t>para facilitar el acceso al crédito a personas que no califican para financiamiento en la banca tradicional.</w:t>
      </w:r>
    </w:p>
    <w:p w14:paraId="7E9825CB"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Un Banco Comunitario está conformado por grupos de personas entre 10 y 20 emprendedores que se conocen entre sí y que, aunque reciben financiamiento de manera individual, funcionan bajo </w:t>
      </w:r>
      <w:r>
        <w:rPr>
          <w:rFonts w:ascii="Century Gothic" w:eastAsia="Century Gothic" w:hAnsi="Century Gothic" w:cs="Century Gothic"/>
          <w:b/>
        </w:rPr>
        <w:t>un sistema de aval solidario</w:t>
      </w:r>
      <w:r>
        <w:rPr>
          <w:rFonts w:ascii="Century Gothic" w:eastAsia="Century Gothic" w:hAnsi="Century Gothic" w:cs="Century Gothic"/>
        </w:rPr>
        <w:t>. Esto significa que todos los miembros del grupo se comprometen y asumen colectivamente la responsabilidad de la devolución de los microcréditos otorgados.</w:t>
      </w:r>
    </w:p>
    <w:p w14:paraId="2DEEDBD3"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El rol de los bancos comunitarios en nuestro modelo es fundamental, ya que:</w:t>
      </w:r>
    </w:p>
    <w:p w14:paraId="3F7409E4" w14:textId="77777777" w:rsidR="00F61264" w:rsidRDefault="00F61264" w:rsidP="00F61264">
      <w:pPr>
        <w:numPr>
          <w:ilvl w:val="0"/>
          <w:numId w:val="2"/>
        </w:numPr>
        <w:spacing w:before="280"/>
        <w:jc w:val="both"/>
        <w:rPr>
          <w:rFonts w:ascii="Century Gothic" w:eastAsia="Century Gothic" w:hAnsi="Century Gothic" w:cs="Century Gothic"/>
        </w:rPr>
      </w:pPr>
      <w:r>
        <w:rPr>
          <w:rFonts w:ascii="Century Gothic" w:eastAsia="Century Gothic" w:hAnsi="Century Gothic" w:cs="Century Gothic"/>
        </w:rPr>
        <w:t xml:space="preserve">Funcionan como una estructura de </w:t>
      </w:r>
      <w:r>
        <w:rPr>
          <w:rFonts w:ascii="Century Gothic" w:eastAsia="Century Gothic" w:hAnsi="Century Gothic" w:cs="Century Gothic"/>
          <w:b/>
        </w:rPr>
        <w:t>apoyo mutuo</w:t>
      </w:r>
      <w:r>
        <w:rPr>
          <w:rFonts w:ascii="Century Gothic" w:eastAsia="Century Gothic" w:hAnsi="Century Gothic" w:cs="Century Gothic"/>
        </w:rPr>
        <w:t>, donde los emprendedores no solo acceden a financiamiento, sino que también generan confianza y colaboración entre ellos.</w:t>
      </w:r>
    </w:p>
    <w:p w14:paraId="61AC3A4E" w14:textId="77777777" w:rsidR="00F61264" w:rsidRDefault="00F61264" w:rsidP="00F61264">
      <w:pPr>
        <w:numPr>
          <w:ilvl w:val="0"/>
          <w:numId w:val="2"/>
        </w:numPr>
        <w:jc w:val="both"/>
        <w:rPr>
          <w:rFonts w:ascii="Century Gothic" w:eastAsia="Century Gothic" w:hAnsi="Century Gothic" w:cs="Century Gothic"/>
        </w:rPr>
      </w:pPr>
      <w:r>
        <w:rPr>
          <w:rFonts w:ascii="Century Gothic" w:eastAsia="Century Gothic" w:hAnsi="Century Gothic" w:cs="Century Gothic"/>
          <w:b/>
        </w:rPr>
        <w:t>Facilitan la entrega y recuperación de los microcréditos</w:t>
      </w:r>
      <w:r>
        <w:rPr>
          <w:rFonts w:ascii="Century Gothic" w:eastAsia="Century Gothic" w:hAnsi="Century Gothic" w:cs="Century Gothic"/>
        </w:rPr>
        <w:t>, al operar en ciclos de financiamiento organizados.</w:t>
      </w:r>
    </w:p>
    <w:p w14:paraId="2745B14E" w14:textId="77777777" w:rsidR="00F61264" w:rsidRDefault="00F61264" w:rsidP="00F61264">
      <w:pPr>
        <w:numPr>
          <w:ilvl w:val="0"/>
          <w:numId w:val="2"/>
        </w:numPr>
        <w:spacing w:after="280"/>
        <w:jc w:val="both"/>
        <w:rPr>
          <w:rFonts w:ascii="Century Gothic" w:eastAsia="Century Gothic" w:hAnsi="Century Gothic" w:cs="Century Gothic"/>
        </w:rPr>
      </w:pPr>
      <w:r>
        <w:rPr>
          <w:rFonts w:ascii="Century Gothic" w:eastAsia="Century Gothic" w:hAnsi="Century Gothic" w:cs="Century Gothic"/>
          <w:b/>
        </w:rPr>
        <w:t>Fomentan la educación en múltiples dimensiones</w:t>
      </w:r>
      <w:r>
        <w:rPr>
          <w:rFonts w:ascii="Century Gothic" w:eastAsia="Century Gothic" w:hAnsi="Century Gothic" w:cs="Century Gothic"/>
        </w:rPr>
        <w:t>, no solo en el ámbito financiero, sino también en habilidades blandas, autocuidado, construcción de redes y cohesión social en el territorio donde opera la Fundación.</w:t>
      </w:r>
    </w:p>
    <w:p w14:paraId="37AFD78D"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Desde el punto de vista financiero, </w:t>
      </w:r>
      <w:r>
        <w:rPr>
          <w:rFonts w:ascii="Century Gothic" w:eastAsia="Century Gothic" w:hAnsi="Century Gothic" w:cs="Century Gothic"/>
          <w:b/>
        </w:rPr>
        <w:t>los emprendedores reciben microcréditos directamente de la Fundación</w:t>
      </w:r>
      <w:r>
        <w:rPr>
          <w:rFonts w:ascii="Century Gothic" w:eastAsia="Century Gothic" w:hAnsi="Century Gothic" w:cs="Century Gothic"/>
        </w:rPr>
        <w:t>, y los bancos comunitarios no manejan los fondos de manera autónoma ni reciben transferencias directas. En su lugar, estos funcionan como una estructura organizativa y de corresponsabilidad para garantizar el buen uso y devolución de los recursos.</w:t>
      </w:r>
    </w:p>
    <w:p w14:paraId="6FED0A5F"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Los créditos se otorgan </w:t>
      </w:r>
      <w:r>
        <w:rPr>
          <w:rFonts w:ascii="Century Gothic" w:eastAsia="Century Gothic" w:hAnsi="Century Gothic" w:cs="Century Gothic"/>
          <w:b/>
        </w:rPr>
        <w:t>tres veces al año</w:t>
      </w:r>
      <w:r>
        <w:rPr>
          <w:rFonts w:ascii="Century Gothic" w:eastAsia="Century Gothic" w:hAnsi="Century Gothic" w:cs="Century Gothic"/>
        </w:rPr>
        <w:t xml:space="preserve">, con ciclos de pago de </w:t>
      </w:r>
      <w:r>
        <w:rPr>
          <w:rFonts w:ascii="Century Gothic" w:eastAsia="Century Gothic" w:hAnsi="Century Gothic" w:cs="Century Gothic"/>
          <w:b/>
        </w:rPr>
        <w:t>16 semanas</w:t>
      </w:r>
      <w:r>
        <w:rPr>
          <w:rFonts w:ascii="Century Gothic" w:eastAsia="Century Gothic" w:hAnsi="Century Gothic" w:cs="Century Gothic"/>
        </w:rPr>
        <w:t>, período en el cual los beneficiarios deben devolver el capital recibido junto con los intereses correspondientes. Como parte de su compromiso, los participantes deben asistir a reuniones semanales y talleres de capacitación.</w:t>
      </w:r>
    </w:p>
    <w:p w14:paraId="73B3C9A8"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Los </w:t>
      </w:r>
      <w:r>
        <w:rPr>
          <w:rFonts w:ascii="Century Gothic" w:eastAsia="Century Gothic" w:hAnsi="Century Gothic" w:cs="Century Gothic"/>
          <w:b/>
        </w:rPr>
        <w:t>talleres de capacitación</w:t>
      </w:r>
      <w:r>
        <w:rPr>
          <w:rFonts w:ascii="Century Gothic" w:eastAsia="Century Gothic" w:hAnsi="Century Gothic" w:cs="Century Gothic"/>
        </w:rPr>
        <w:t xml:space="preserve"> fortalecen no solo el </w:t>
      </w:r>
      <w:r>
        <w:rPr>
          <w:rFonts w:ascii="Century Gothic" w:eastAsia="Century Gothic" w:hAnsi="Century Gothic" w:cs="Century Gothic"/>
          <w:b/>
        </w:rPr>
        <w:t>desarrollo financiero</w:t>
      </w:r>
      <w:r>
        <w:rPr>
          <w:rFonts w:ascii="Century Gothic" w:eastAsia="Century Gothic" w:hAnsi="Century Gothic" w:cs="Century Gothic"/>
        </w:rPr>
        <w:t xml:space="preserve"> de los emprendedores, sino también su </w:t>
      </w:r>
      <w:r>
        <w:rPr>
          <w:rFonts w:ascii="Century Gothic" w:eastAsia="Century Gothic" w:hAnsi="Century Gothic" w:cs="Century Gothic"/>
          <w:b/>
        </w:rPr>
        <w:t>desarrollo personal y calidad de vida</w:t>
      </w:r>
      <w:r>
        <w:rPr>
          <w:rFonts w:ascii="Century Gothic" w:eastAsia="Century Gothic" w:hAnsi="Century Gothic" w:cs="Century Gothic"/>
        </w:rPr>
        <w:t xml:space="preserve">, impactando positivamente en ellos, sus familias y su entorno. </w:t>
      </w:r>
    </w:p>
    <w:p w14:paraId="67D63434" w14:textId="022016A9" w:rsidR="00F61264" w:rsidRDefault="00F61264" w:rsidP="00F61264">
      <w:pPr>
        <w:spacing w:before="280"/>
        <w:jc w:val="both"/>
        <w:rPr>
          <w:rFonts w:ascii="Century Gothic" w:eastAsia="Century Gothic" w:hAnsi="Century Gothic" w:cs="Century Gothic"/>
        </w:rPr>
      </w:pPr>
      <w:r>
        <w:rPr>
          <w:rFonts w:ascii="Century Gothic" w:eastAsia="Century Gothic" w:hAnsi="Century Gothic" w:cs="Century Gothic"/>
        </w:rPr>
        <w:t>Este enfoque integral busca que los beneficiarios no solo mejoren su situación económica, sino que también fortalezcan sus redes de apoyo y generen un impacto social positivo en sus comunidades.</w:t>
      </w:r>
    </w:p>
    <w:p w14:paraId="46E50E24" w14:textId="77777777" w:rsidR="00F61264" w:rsidRDefault="00F61264" w:rsidP="00F61264">
      <w:pPr>
        <w:jc w:val="both"/>
        <w:rPr>
          <w:rFonts w:ascii="Century Gothic" w:eastAsia="Century Gothic" w:hAnsi="Century Gothic" w:cs="Century Gothic"/>
        </w:rPr>
      </w:pPr>
    </w:p>
    <w:p w14:paraId="364AE47E" w14:textId="7ED8DE6C"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lastRenderedPageBreak/>
        <w:br/>
      </w:r>
      <w:r w:rsidRPr="00F61264">
        <w:rPr>
          <w:rFonts w:ascii="Century Gothic" w:eastAsia="Century Gothic" w:hAnsi="Century Gothic" w:cs="Century Gothic"/>
          <w:b/>
          <w:color w:val="000000"/>
        </w:rPr>
        <w:t>3. ¿Los bancos comunitarios a quienes transfieren recursos son organizaciones constituidas como sin fines de lucro?</w:t>
      </w:r>
    </w:p>
    <w:p w14:paraId="7CDD6EF4" w14:textId="77777777" w:rsidR="00026888" w:rsidRPr="00026888" w:rsidRDefault="00026888" w:rsidP="00C92D1D">
      <w:pPr>
        <w:spacing w:before="100" w:beforeAutospacing="1" w:after="100" w:afterAutospacing="1"/>
        <w:jc w:val="both"/>
        <w:rPr>
          <w:rFonts w:ascii="Century Gothic" w:eastAsia="Century Gothic" w:hAnsi="Century Gothic" w:cs="Century Gothic"/>
        </w:rPr>
      </w:pPr>
      <w:bookmarkStart w:id="0" w:name="_GoBack"/>
      <w:r w:rsidRPr="00026888">
        <w:rPr>
          <w:rFonts w:ascii="Century Gothic" w:eastAsia="Century Gothic" w:hAnsi="Century Gothic" w:cs="Century Gothic"/>
        </w:rPr>
        <w:t xml:space="preserve">No, los </w:t>
      </w:r>
      <w:r w:rsidRPr="00026888">
        <w:rPr>
          <w:rFonts w:ascii="Century Gothic" w:eastAsia="Century Gothic" w:hAnsi="Century Gothic" w:cs="Century Gothic"/>
          <w:b/>
        </w:rPr>
        <w:t>bancos comunitarios</w:t>
      </w:r>
      <w:r w:rsidRPr="00026888">
        <w:rPr>
          <w:rFonts w:ascii="Century Gothic" w:eastAsia="Century Gothic" w:hAnsi="Century Gothic" w:cs="Century Gothic"/>
        </w:rPr>
        <w:t xml:space="preserve"> a los que transferimos recursos no están constituidos como organizaciones </w:t>
      </w:r>
      <w:r w:rsidRPr="00026888">
        <w:rPr>
          <w:rFonts w:ascii="Century Gothic" w:eastAsia="Century Gothic" w:hAnsi="Century Gothic" w:cs="Century Gothic"/>
          <w:b/>
        </w:rPr>
        <w:t>sin fines de lucro</w:t>
      </w:r>
      <w:r w:rsidRPr="00026888">
        <w:rPr>
          <w:rFonts w:ascii="Century Gothic" w:eastAsia="Century Gothic" w:hAnsi="Century Gothic" w:cs="Century Gothic"/>
        </w:rPr>
        <w:t xml:space="preserve">, ya que no operan como entidades jurídicas independientes, sino como </w:t>
      </w:r>
      <w:r w:rsidRPr="00026888">
        <w:rPr>
          <w:rFonts w:ascii="Century Gothic" w:eastAsia="Century Gothic" w:hAnsi="Century Gothic" w:cs="Century Gothic"/>
          <w:b/>
        </w:rPr>
        <w:t>una estructura organizativa dentro del modelo de financiamiento de la Fundación.</w:t>
      </w:r>
    </w:p>
    <w:p w14:paraId="55F66E7E" w14:textId="77777777" w:rsidR="00026888" w:rsidRPr="00026888" w:rsidRDefault="00026888" w:rsidP="00C92D1D">
      <w:pPr>
        <w:spacing w:before="100" w:beforeAutospacing="1" w:after="100" w:afterAutospacing="1"/>
        <w:jc w:val="both"/>
        <w:rPr>
          <w:rFonts w:ascii="Century Gothic" w:eastAsia="Century Gothic" w:hAnsi="Century Gothic" w:cs="Century Gothic"/>
        </w:rPr>
      </w:pPr>
      <w:r w:rsidRPr="00026888">
        <w:rPr>
          <w:rFonts w:ascii="Century Gothic" w:eastAsia="Century Gothic" w:hAnsi="Century Gothic" w:cs="Century Gothic"/>
        </w:rPr>
        <w:t xml:space="preserve">El rol de los bancos comunitarios no es el de administrar fondos ni recibir transferencias de manera autónoma, sino actuar como una </w:t>
      </w:r>
      <w:r w:rsidRPr="00026888">
        <w:rPr>
          <w:rFonts w:ascii="Century Gothic" w:eastAsia="Century Gothic" w:hAnsi="Century Gothic" w:cs="Century Gothic"/>
          <w:b/>
        </w:rPr>
        <w:t xml:space="preserve">red de apoyo y corresponsabilidad </w:t>
      </w:r>
      <w:r w:rsidRPr="00026888">
        <w:rPr>
          <w:rFonts w:ascii="Century Gothic" w:eastAsia="Century Gothic" w:hAnsi="Century Gothic" w:cs="Century Gothic"/>
        </w:rPr>
        <w:t xml:space="preserve">entre los emprendedores que participan en el programa. Cada banco comunitario está conformado por un grupo de al menos 20 emprendedores que </w:t>
      </w:r>
      <w:r w:rsidRPr="00026888">
        <w:rPr>
          <w:rFonts w:ascii="Century Gothic" w:eastAsia="Century Gothic" w:hAnsi="Century Gothic" w:cs="Century Gothic"/>
          <w:b/>
        </w:rPr>
        <w:t xml:space="preserve">reciben los recursos de manera individual </w:t>
      </w:r>
      <w:r w:rsidRPr="00026888">
        <w:rPr>
          <w:rFonts w:ascii="Century Gothic" w:eastAsia="Century Gothic" w:hAnsi="Century Gothic" w:cs="Century Gothic"/>
        </w:rPr>
        <w:t>directamente desde la Fundación, bajo un esquema de microcrédito con aval solidario.</w:t>
      </w:r>
    </w:p>
    <w:p w14:paraId="69F9A852" w14:textId="77777777" w:rsidR="00026888" w:rsidRPr="00026888" w:rsidRDefault="00026888" w:rsidP="00C92D1D">
      <w:pPr>
        <w:spacing w:before="100" w:beforeAutospacing="1" w:after="100" w:afterAutospacing="1"/>
        <w:jc w:val="both"/>
        <w:rPr>
          <w:rFonts w:ascii="Century Gothic" w:eastAsia="Century Gothic" w:hAnsi="Century Gothic" w:cs="Century Gothic"/>
        </w:rPr>
      </w:pPr>
      <w:r w:rsidRPr="00026888">
        <w:rPr>
          <w:rFonts w:ascii="Century Gothic" w:eastAsia="Century Gothic" w:hAnsi="Century Gothic" w:cs="Century Gothic"/>
        </w:rPr>
        <w:t>A diferencia de una organización formal sin fines de lucro, los bancos comunitarios:</w:t>
      </w:r>
    </w:p>
    <w:p w14:paraId="29BB35BF" w14:textId="77777777" w:rsidR="00026888" w:rsidRPr="00026888" w:rsidRDefault="00026888" w:rsidP="00C92D1D">
      <w:pPr>
        <w:numPr>
          <w:ilvl w:val="0"/>
          <w:numId w:val="3"/>
        </w:numPr>
        <w:spacing w:before="100" w:beforeAutospacing="1" w:after="100" w:afterAutospacing="1"/>
        <w:jc w:val="both"/>
        <w:rPr>
          <w:rFonts w:ascii="Century Gothic" w:eastAsia="Century Gothic" w:hAnsi="Century Gothic" w:cs="Century Gothic"/>
        </w:rPr>
      </w:pPr>
      <w:r w:rsidRPr="00026888">
        <w:rPr>
          <w:rFonts w:ascii="Century Gothic" w:eastAsia="Century Gothic" w:hAnsi="Century Gothic" w:cs="Century Gothic"/>
          <w:b/>
        </w:rPr>
        <w:t>No tienen personalidad jurídica</w:t>
      </w:r>
      <w:r w:rsidRPr="00026888">
        <w:rPr>
          <w:rFonts w:ascii="Century Gothic" w:eastAsia="Century Gothic" w:hAnsi="Century Gothic" w:cs="Century Gothic"/>
        </w:rPr>
        <w:t xml:space="preserve"> propia ni cuentan con una administración independiente.</w:t>
      </w:r>
    </w:p>
    <w:p w14:paraId="0E099FB4" w14:textId="77777777" w:rsidR="00026888" w:rsidRPr="00026888" w:rsidRDefault="00026888" w:rsidP="00C92D1D">
      <w:pPr>
        <w:numPr>
          <w:ilvl w:val="0"/>
          <w:numId w:val="3"/>
        </w:numPr>
        <w:spacing w:before="100" w:beforeAutospacing="1" w:after="100" w:afterAutospacing="1"/>
        <w:jc w:val="both"/>
        <w:rPr>
          <w:rFonts w:ascii="Century Gothic" w:eastAsia="Century Gothic" w:hAnsi="Century Gothic" w:cs="Century Gothic"/>
        </w:rPr>
      </w:pPr>
      <w:r w:rsidRPr="00026888">
        <w:rPr>
          <w:rFonts w:ascii="Century Gothic" w:eastAsia="Century Gothic" w:hAnsi="Century Gothic" w:cs="Century Gothic"/>
          <w:b/>
        </w:rPr>
        <w:t>No manejan ni disponen de los fondos de manera colectiva;</w:t>
      </w:r>
      <w:r w:rsidRPr="00026888">
        <w:rPr>
          <w:rFonts w:ascii="Century Gothic" w:eastAsia="Century Gothic" w:hAnsi="Century Gothic" w:cs="Century Gothic"/>
        </w:rPr>
        <w:t xml:space="preserve"> cada emprendedor es responsable de su microcrédito.</w:t>
      </w:r>
    </w:p>
    <w:p w14:paraId="22408287" w14:textId="77777777" w:rsidR="00026888" w:rsidRPr="00026888" w:rsidRDefault="00026888" w:rsidP="00C92D1D">
      <w:pPr>
        <w:numPr>
          <w:ilvl w:val="0"/>
          <w:numId w:val="3"/>
        </w:numPr>
        <w:spacing w:before="100" w:beforeAutospacing="1" w:after="100" w:afterAutospacing="1"/>
        <w:jc w:val="both"/>
        <w:rPr>
          <w:rFonts w:ascii="Century Gothic" w:eastAsia="Century Gothic" w:hAnsi="Century Gothic" w:cs="Century Gothic"/>
        </w:rPr>
      </w:pPr>
      <w:r w:rsidRPr="00026888">
        <w:rPr>
          <w:rFonts w:ascii="Century Gothic" w:eastAsia="Century Gothic" w:hAnsi="Century Gothic" w:cs="Century Gothic"/>
          <w:b/>
        </w:rPr>
        <w:t>Funcionan como un mecanismo de garantía mutua,</w:t>
      </w:r>
      <w:r w:rsidRPr="00026888">
        <w:rPr>
          <w:rFonts w:ascii="Century Gothic" w:eastAsia="Century Gothic" w:hAnsi="Century Gothic" w:cs="Century Gothic"/>
        </w:rPr>
        <w:t xml:space="preserve"> asegurando el compromiso de pago y fomentando el acompañamiento entre pares.</w:t>
      </w:r>
    </w:p>
    <w:p w14:paraId="1FDC291F" w14:textId="77777777" w:rsidR="00026888" w:rsidRPr="00026888" w:rsidRDefault="00026888" w:rsidP="00C92D1D">
      <w:pPr>
        <w:spacing w:before="100" w:beforeAutospacing="1" w:after="100" w:afterAutospacing="1"/>
        <w:jc w:val="both"/>
        <w:rPr>
          <w:rFonts w:ascii="Century Gothic" w:eastAsia="Century Gothic" w:hAnsi="Century Gothic" w:cs="Century Gothic"/>
        </w:rPr>
      </w:pPr>
      <w:r w:rsidRPr="00026888">
        <w:rPr>
          <w:rFonts w:ascii="Century Gothic" w:eastAsia="Century Gothic" w:hAnsi="Century Gothic" w:cs="Century Gothic"/>
        </w:rPr>
        <w:t xml:space="preserve">Por lo tanto, aunque los bancos comunitarios desempeñan un papel fundamental en la implementación del programa, </w:t>
      </w:r>
      <w:r w:rsidRPr="00026888">
        <w:rPr>
          <w:rFonts w:ascii="Century Gothic" w:eastAsia="Century Gothic" w:hAnsi="Century Gothic" w:cs="Century Gothic"/>
          <w:b/>
        </w:rPr>
        <w:t>su función es social y organizativa, no financiera ni administrativa.</w:t>
      </w:r>
      <w:r w:rsidRPr="00026888">
        <w:rPr>
          <w:rFonts w:ascii="Century Gothic" w:eastAsia="Century Gothic" w:hAnsi="Century Gothic" w:cs="Century Gothic"/>
        </w:rPr>
        <w:t xml:space="preserve"> La Fundación es la entidad que administra los recursos y asegura que estos sean utilizados conforme a los fines establecidos, a través de contratos individuales con cada beneficiario y mecanismos de rendición de cuentas.</w:t>
      </w:r>
    </w:p>
    <w:bookmarkEnd w:id="0"/>
    <w:p w14:paraId="60D9E0C0" w14:textId="77777777" w:rsidR="00026888" w:rsidRPr="00F61264" w:rsidRDefault="00026888" w:rsidP="00F61264">
      <w:pPr>
        <w:jc w:val="both"/>
        <w:rPr>
          <w:rFonts w:ascii="Century Gothic" w:eastAsia="Century Gothic" w:hAnsi="Century Gothic" w:cs="Century Gothic"/>
          <w:b/>
          <w:color w:val="000000"/>
        </w:rPr>
      </w:pPr>
    </w:p>
    <w:p w14:paraId="2A6E35BC" w14:textId="4F7DF2B3"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4. Por favor completar la declaración complementaria de la sección "Normativa" sobre "DECLARACIÓN JURADA COMPLEMENTARIA DE SOLICITUD DE INSCRIPCIÓN EN EL REGISTRO DE ENTIDADES DONATARIAS DEL ARTÍCULO 46 F DE LA LEY N° 21.440 – ACTIVIDADES EJECUTADAS MEDIANTE TRANSFERENCIA DE RECURSOS A TERCEROS".</w:t>
      </w:r>
    </w:p>
    <w:p w14:paraId="3DF49E0E" w14:textId="55E0C868" w:rsidR="00233785" w:rsidRPr="00233785" w:rsidRDefault="00233785" w:rsidP="00233785">
      <w:pPr>
        <w:rPr>
          <w:rFonts w:ascii="Century Gothic" w:eastAsia="Century Gothic" w:hAnsi="Century Gothic" w:cs="Century Gothic"/>
        </w:rPr>
      </w:pPr>
      <w:r w:rsidRPr="00233785">
        <w:rPr>
          <w:rFonts w:ascii="Century Gothic" w:eastAsia="Century Gothic" w:hAnsi="Century Gothic" w:cs="Century Gothic"/>
        </w:rPr>
        <w:t xml:space="preserve">Declaración firmada y adjuntada en la sección </w:t>
      </w:r>
      <w:r>
        <w:rPr>
          <w:rFonts w:ascii="Century Gothic" w:eastAsia="Century Gothic" w:hAnsi="Century Gothic" w:cs="Century Gothic"/>
        </w:rPr>
        <w:t>“</w:t>
      </w:r>
      <w:r w:rsidRPr="00233785">
        <w:rPr>
          <w:rFonts w:ascii="Century Gothic" w:eastAsia="Century Gothic" w:hAnsi="Century Gothic" w:cs="Century Gothic"/>
        </w:rPr>
        <w:t>Memoria” bajo el nombre de “</w:t>
      </w:r>
      <w:hyperlink r:id="rId6" w:history="1">
        <w:r w:rsidRPr="00233785">
          <w:rPr>
            <w:rFonts w:ascii="Century Gothic" w:eastAsia="Century Gothic" w:hAnsi="Century Gothic" w:cs="Century Gothic"/>
          </w:rPr>
          <w:t>Declaracion.Jurada_Ley21440.pdf</w:t>
        </w:r>
      </w:hyperlink>
      <w:r>
        <w:rPr>
          <w:rFonts w:ascii="Century Gothic" w:eastAsia="Century Gothic" w:hAnsi="Century Gothic" w:cs="Century Gothic"/>
        </w:rPr>
        <w:t>”</w:t>
      </w:r>
    </w:p>
    <w:p w14:paraId="2DD4A674" w14:textId="7F3AEE6A" w:rsidR="00233785" w:rsidRDefault="00233785" w:rsidP="00F61264">
      <w:pPr>
        <w:jc w:val="both"/>
        <w:rPr>
          <w:rFonts w:ascii="Century Gothic" w:eastAsia="Century Gothic" w:hAnsi="Century Gothic" w:cs="Century Gothic"/>
          <w:b/>
          <w:color w:val="000000"/>
        </w:rPr>
      </w:pPr>
    </w:p>
    <w:p w14:paraId="2F63B02E" w14:textId="2A94D2F8" w:rsidR="00F61264" w:rsidRP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b/>
          <w:color w:val="000000"/>
        </w:rPr>
        <w:lastRenderedPageBreak/>
        <w:br/>
      </w:r>
      <w:r>
        <w:rPr>
          <w:rFonts w:ascii="Century Gothic" w:eastAsia="Century Gothic" w:hAnsi="Century Gothic" w:cs="Century Gothic"/>
          <w:b/>
          <w:color w:val="000000"/>
        </w:rPr>
        <w:t>5</w:t>
      </w:r>
      <w:r w:rsidRPr="00F61264">
        <w:rPr>
          <w:rFonts w:ascii="Century Gothic" w:eastAsia="Century Gothic" w:hAnsi="Century Gothic" w:cs="Century Gothic"/>
          <w:b/>
          <w:color w:val="000000"/>
        </w:rPr>
        <w:t>. Por favor tener presenta la observación previa respecto a informar sus grupos de interés en relación a la pregunta frecuente N°26.</w:t>
      </w:r>
    </w:p>
    <w:p w14:paraId="7995587C" w14:textId="6948E0F1" w:rsidR="00F61264" w:rsidRDefault="00DF59A2" w:rsidP="00F61264">
      <w:pPr>
        <w:jc w:val="both"/>
        <w:rPr>
          <w:rFonts w:ascii="Century Gothic" w:eastAsia="Century Gothic" w:hAnsi="Century Gothic" w:cs="Century Gothic"/>
          <w:color w:val="000000"/>
        </w:rPr>
      </w:pPr>
      <w:r>
        <w:rPr>
          <w:rFonts w:ascii="Century Gothic" w:eastAsia="Century Gothic" w:hAnsi="Century Gothic" w:cs="Century Gothic"/>
          <w:color w:val="000000"/>
        </w:rPr>
        <w:t>Grupos de interés informados en la sección correespondiente.</w:t>
      </w:r>
    </w:p>
    <w:p w14:paraId="1F06E257" w14:textId="1E6A92FB" w:rsidR="00F61264" w:rsidRPr="00F61264" w:rsidRDefault="00F61264" w:rsidP="00F61264">
      <w:pPr>
        <w:jc w:val="both"/>
        <w:rPr>
          <w:rFonts w:ascii="Century Gothic" w:eastAsia="Century Gothic" w:hAnsi="Century Gothic" w:cs="Century Gothic"/>
          <w:color w:val="000000"/>
        </w:rPr>
      </w:pPr>
      <w:r w:rsidRPr="00F61264">
        <w:rPr>
          <w:rFonts w:ascii="Century Gothic" w:eastAsia="Century Gothic" w:hAnsi="Century Gothic" w:cs="Century Gothic"/>
          <w:color w:val="000000"/>
        </w:rPr>
        <w:br/>
        <w:t>Saludos cordiales,</w:t>
      </w:r>
    </w:p>
    <w:p w14:paraId="20331081" w14:textId="77777777" w:rsidR="00F61264" w:rsidRDefault="00F61264">
      <w:pPr>
        <w:jc w:val="center"/>
        <w:rPr>
          <w:rFonts w:ascii="Century Gothic" w:eastAsia="Century Gothic" w:hAnsi="Century Gothic" w:cs="Century Gothic"/>
          <w:b/>
          <w:u w:val="single"/>
        </w:rPr>
      </w:pPr>
    </w:p>
    <w:p w14:paraId="00000003" w14:textId="77777777" w:rsidR="00F5724B" w:rsidRDefault="00F5724B">
      <w:pPr>
        <w:pBdr>
          <w:top w:val="nil"/>
          <w:left w:val="nil"/>
          <w:bottom w:val="nil"/>
          <w:right w:val="nil"/>
          <w:between w:val="nil"/>
        </w:pBdr>
        <w:ind w:left="720"/>
        <w:jc w:val="both"/>
        <w:rPr>
          <w:rFonts w:ascii="Century Gothic" w:eastAsia="Century Gothic" w:hAnsi="Century Gothic" w:cs="Century Gothic"/>
          <w:b/>
          <w:color w:val="000000"/>
        </w:rPr>
      </w:pPr>
    </w:p>
    <w:p w14:paraId="00000017" w14:textId="0AFE0E79" w:rsidR="00F5724B" w:rsidRDefault="00F5724B">
      <w:pPr>
        <w:spacing w:before="280"/>
        <w:jc w:val="both"/>
        <w:rPr>
          <w:rFonts w:ascii="Century Gothic" w:eastAsia="Century Gothic" w:hAnsi="Century Gothic" w:cs="Century Gothic"/>
        </w:rPr>
      </w:pPr>
    </w:p>
    <w:sectPr w:rsidR="00F5724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C08"/>
    <w:multiLevelType w:val="multilevel"/>
    <w:tmpl w:val="66762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381DBA"/>
    <w:multiLevelType w:val="multilevel"/>
    <w:tmpl w:val="5F72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E3EDB"/>
    <w:multiLevelType w:val="multilevel"/>
    <w:tmpl w:val="3C0ADB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4B"/>
    <w:rsid w:val="00026888"/>
    <w:rsid w:val="00233785"/>
    <w:rsid w:val="00C92D1D"/>
    <w:rsid w:val="00DF59A2"/>
    <w:rsid w:val="00F5724B"/>
    <w:rsid w:val="00F61264"/>
    <w:rsid w:val="00F93A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7E522F1"/>
  <w15:docId w15:val="{38141DE1-6A45-F240-8FF1-34C4CD5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888"/>
    <w:rPr>
      <w:rFonts w:ascii="Times New Roman" w:eastAsia="Times New Roman" w:hAnsi="Times New Roman" w:cs="Times New Roman"/>
      <w:sz w:val="24"/>
      <w:szCs w:val="24"/>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03348C"/>
    <w:pPr>
      <w:ind w:left="720"/>
      <w:contextualSpacing/>
    </w:pPr>
  </w:style>
  <w:style w:type="paragraph" w:styleId="NormalWeb">
    <w:name w:val="Normal (Web)"/>
    <w:basedOn w:val="Normal"/>
    <w:uiPriority w:val="99"/>
    <w:semiHidden/>
    <w:unhideWhenUsed/>
    <w:rsid w:val="00D90C7C"/>
    <w:pPr>
      <w:spacing w:before="100" w:beforeAutospacing="1" w:after="100" w:afterAutospacing="1"/>
    </w:pPr>
  </w:style>
  <w:style w:type="character" w:styleId="Textoennegrita">
    <w:name w:val="Strong"/>
    <w:basedOn w:val="Fuentedeprrafopredeter"/>
    <w:uiPriority w:val="22"/>
    <w:qFormat/>
    <w:rsid w:val="00D90C7C"/>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semiHidden/>
    <w:unhideWhenUsed/>
    <w:rsid w:val="00233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6324">
      <w:bodyDiv w:val="1"/>
      <w:marLeft w:val="0"/>
      <w:marRight w:val="0"/>
      <w:marTop w:val="0"/>
      <w:marBottom w:val="0"/>
      <w:divBdr>
        <w:top w:val="none" w:sz="0" w:space="0" w:color="auto"/>
        <w:left w:val="none" w:sz="0" w:space="0" w:color="auto"/>
        <w:bottom w:val="none" w:sz="0" w:space="0" w:color="auto"/>
        <w:right w:val="none" w:sz="0" w:space="0" w:color="auto"/>
      </w:divBdr>
    </w:div>
    <w:div w:id="132256952">
      <w:bodyDiv w:val="1"/>
      <w:marLeft w:val="0"/>
      <w:marRight w:val="0"/>
      <w:marTop w:val="0"/>
      <w:marBottom w:val="0"/>
      <w:divBdr>
        <w:top w:val="none" w:sz="0" w:space="0" w:color="auto"/>
        <w:left w:val="none" w:sz="0" w:space="0" w:color="auto"/>
        <w:bottom w:val="none" w:sz="0" w:space="0" w:color="auto"/>
        <w:right w:val="none" w:sz="0" w:space="0" w:color="auto"/>
      </w:divBdr>
    </w:div>
    <w:div w:id="1394229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nacionesley21440.gob.cl/representante/donatarias/inscripcion/2319/500/put/317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GsDz99+gOFrb9gdB7fq0Vu0uA==">CgMxLjAyCGguZ2pkZ3hzOAByITF2WUVaZnRSNnVwMkFBTXVLU1hsSnotaEpfU3FCYnR5aQ==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1072</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Risopatrón</dc:creator>
  <cp:lastModifiedBy>Elisa Risopatrón</cp:lastModifiedBy>
  <cp:revision>3</cp:revision>
  <dcterms:created xsi:type="dcterms:W3CDTF">2025-04-17T17:19:00Z</dcterms:created>
  <dcterms:modified xsi:type="dcterms:W3CDTF">2025-04-17T17:25:00Z</dcterms:modified>
</cp:coreProperties>
</file>