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A51F" w14:textId="222EE8DB" w:rsidR="000C09E0" w:rsidRPr="003A424B" w:rsidRDefault="003A424B" w:rsidP="003A424B">
      <w:pPr>
        <w:jc w:val="both"/>
        <w:rPr>
          <w:rFonts w:ascii="Tahoma" w:hAnsi="Tahoma" w:cs="Tahoma"/>
          <w:lang w:val="es-ES"/>
        </w:rPr>
      </w:pPr>
      <w:r w:rsidRPr="003A424B">
        <w:rPr>
          <w:rFonts w:ascii="Tahoma" w:hAnsi="Tahoma" w:cs="Tahoma"/>
          <w:lang w:val="es-ES"/>
        </w:rPr>
        <w:t xml:space="preserve">La Fundación Adopta un negrito, cuenta con menos de un año de antigüedad, ya que su fecha de </w:t>
      </w:r>
      <w:r>
        <w:rPr>
          <w:rFonts w:ascii="Tahoma" w:hAnsi="Tahoma" w:cs="Tahoma"/>
          <w:lang w:val="es-ES"/>
        </w:rPr>
        <w:t>vigencia comienza a correr</w:t>
      </w:r>
      <w:r w:rsidRPr="003A424B">
        <w:rPr>
          <w:rFonts w:ascii="Tahoma" w:hAnsi="Tahoma" w:cs="Tahoma"/>
          <w:lang w:val="es-ES"/>
        </w:rPr>
        <w:t xml:space="preserve"> </w:t>
      </w:r>
      <w:r>
        <w:rPr>
          <w:rFonts w:ascii="Tahoma" w:hAnsi="Tahoma" w:cs="Tahoma"/>
          <w:lang w:val="es-ES"/>
        </w:rPr>
        <w:t xml:space="preserve">desde el </w:t>
      </w:r>
      <w:r w:rsidRPr="003A424B">
        <w:rPr>
          <w:rFonts w:ascii="Tahoma" w:hAnsi="Tahoma" w:cs="Tahoma"/>
          <w:lang w:val="es-ES"/>
        </w:rPr>
        <w:t>día 24 de abril del año 2025.</w:t>
      </w:r>
    </w:p>
    <w:sectPr w:rsidR="000C09E0" w:rsidRPr="003A42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4B"/>
    <w:rsid w:val="000C09E0"/>
    <w:rsid w:val="003A424B"/>
    <w:rsid w:val="00AD33B9"/>
    <w:rsid w:val="00C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616B"/>
  <w15:chartTrackingRefBased/>
  <w15:docId w15:val="{D0E895F2-52EB-4A92-A715-89905AB6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2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2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2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2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2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2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2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42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2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2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2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2026-04-07T00:18:00Z</dcterms:created>
  <dcterms:modified xsi:type="dcterms:W3CDTF">2026-04-07T00:21:00Z</dcterms:modified>
</cp:coreProperties>
</file>