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9FD7" w14:textId="441705CE" w:rsid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En relación con lo solicitado en la Sección N°10 de la Memoria Explicativa, se informa lo siguiente:</w:t>
      </w:r>
    </w:p>
    <w:p w14:paraId="42469789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</w:p>
    <w:p w14:paraId="0771DC5E" w14:textId="77777777" w:rsidR="00114D71" w:rsidRPr="00114D71" w:rsidRDefault="00114D71" w:rsidP="00114D71">
      <w:pPr>
        <w:spacing w:after="0" w:line="240" w:lineRule="auto"/>
        <w:ind w:firstLine="708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La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Fundación Enki Anu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 mantiene una relación de colaboración con la empresa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RAM-OSH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organización especializada en servicios de gestión hídrica, soluciones sanitarias y asesorías técnicas en el ámbito ambiental.</w:t>
      </w:r>
    </w:p>
    <w:p w14:paraId="361FACC9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Dicha relación se sustenta en un principio de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complementariedad de funciones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donde cada entidad cumple roles claramente diferenciados:</w:t>
      </w:r>
    </w:p>
    <w:p w14:paraId="78345C0E" w14:textId="77777777" w:rsidR="00114D71" w:rsidRPr="00114D71" w:rsidRDefault="00114D71" w:rsidP="00114D71">
      <w:pPr>
        <w:numPr>
          <w:ilvl w:val="0"/>
          <w:numId w:val="5"/>
        </w:num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La Fundación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 orienta su quehacer al desarrollo social, comunitario y territorial, mediante la ejecución de programas, proyectos e iniciativas de carácter educativo, ambiental y sanitario, especialmente en comunidades vulnerables o con acceso limitado a recursos hídricos de calidad. </w:t>
      </w:r>
    </w:p>
    <w:p w14:paraId="0BBC7867" w14:textId="77777777" w:rsidR="00114D71" w:rsidRPr="00114D71" w:rsidRDefault="00114D71" w:rsidP="00114D71">
      <w:pPr>
        <w:numPr>
          <w:ilvl w:val="0"/>
          <w:numId w:val="5"/>
        </w:num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RAM-OSH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, por su parte, actúa como un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aliado técnico externo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, aportando conocimientos especializados, diseño de soluciones y apoyo en la eventual implementación de sistemas de tratamiento, monitoreo o mejora de la calidad del agua, cuando los proyectos así lo requieren. </w:t>
      </w:r>
    </w:p>
    <w:p w14:paraId="5863CFDF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Ambas entidades son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jurídica, administrativa y financieramente independientes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no existiendo subordinación ni dependencia entre ellas.</w:t>
      </w:r>
    </w:p>
    <w:p w14:paraId="082A90A8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Asimismo, se deja constancia de que:</w:t>
      </w:r>
    </w:p>
    <w:p w14:paraId="63FC2D0F" w14:textId="77777777" w:rsidR="00114D71" w:rsidRPr="00114D71" w:rsidRDefault="00114D71" w:rsidP="00114D71">
      <w:pPr>
        <w:numPr>
          <w:ilvl w:val="0"/>
          <w:numId w:val="6"/>
        </w:num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La Fundación mantiene total autonomía en la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toma de decisiones estratégicas y operativas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. </w:t>
      </w:r>
    </w:p>
    <w:p w14:paraId="5C5982D9" w14:textId="77777777" w:rsidR="00114D71" w:rsidRPr="00114D71" w:rsidRDefault="00114D71" w:rsidP="00114D71">
      <w:pPr>
        <w:numPr>
          <w:ilvl w:val="0"/>
          <w:numId w:val="6"/>
        </w:num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La participación de RAM-OSH se limita exclusivamente a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ámbitos técnicos o de apoyo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, sin injerencia en la gobernanza de la Fundación. </w:t>
      </w:r>
    </w:p>
    <w:p w14:paraId="70FD95F9" w14:textId="77777777" w:rsidR="00114D71" w:rsidRPr="00114D71" w:rsidRDefault="00114D71" w:rsidP="00114D71">
      <w:pPr>
        <w:numPr>
          <w:ilvl w:val="0"/>
          <w:numId w:val="6"/>
        </w:num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Cualquier eventual vinculación en proyectos específicos se realizará bajo criterios de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transparencia, pertinencia técnica y resguardo del interés público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, evitando la generación de conflictos de interés. </w:t>
      </w:r>
    </w:p>
    <w:p w14:paraId="4B6F54D0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La presente relación permite fortalecer el impacto de las iniciativas desarrolladas, integrando capacidades sociales y técnicas en beneficio de las comunidades.</w:t>
      </w:r>
    </w:p>
    <w:p w14:paraId="09158403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En aquellos casos en que la ejecución de proyectos requiera la contratación de servicios o soluciones técnicas, la Fundación implementa un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proceso de evaluación basado en la solicitud de múltiples cotizaciones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con el objetivo de asegurar criterios de eficiencia, calidad y pertinencia técnica.</w:t>
      </w:r>
    </w:p>
    <w:p w14:paraId="19760F67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En este contexto,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RAM-OSH podrá participar en igualdad de condiciones junto a otros proveedores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siendo evaluada conforme a los mismos criterios técnicos y económicos definidos para cada iniciativa.</w:t>
      </w:r>
    </w:p>
    <w:p w14:paraId="6139B19E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La eventual selección de cualquier proveedor se realizará en función del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interés institucional de la Fundación y el beneficio de las comunidades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resguardando en todo momento la transparencia del proceso y evitando situaciones de conflicto de interés.</w:t>
      </w:r>
    </w:p>
    <w:p w14:paraId="7D5FD402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 xml:space="preserve">Para estos efectos, la Fundación podrá establecer </w:t>
      </w:r>
      <w:r w:rsidRPr="00114D71">
        <w:rPr>
          <w:rFonts w:ascii="Abadi" w:eastAsia="Times New Roman" w:hAnsi="Abadi" w:cs="Times New Roman"/>
          <w:b/>
          <w:bCs/>
          <w:sz w:val="24"/>
          <w:szCs w:val="24"/>
          <w:lang w:eastAsia="es-CL"/>
        </w:rPr>
        <w:t>mecanismos formales de evaluación y registro de cotizaciones</w:t>
      </w:r>
      <w:r w:rsidRPr="00114D71">
        <w:rPr>
          <w:rFonts w:ascii="Abadi" w:eastAsia="Times New Roman" w:hAnsi="Abadi" w:cs="Times New Roman"/>
          <w:sz w:val="24"/>
          <w:szCs w:val="24"/>
          <w:lang w:eastAsia="es-CL"/>
        </w:rPr>
        <w:t>, que permitan respaldar objetivamente las decisiones adoptadas.</w:t>
      </w:r>
    </w:p>
    <w:p w14:paraId="2A1FC8C0" w14:textId="77777777" w:rsidR="00114D71" w:rsidRPr="00114D71" w:rsidRDefault="00114D71" w:rsidP="00114D71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es-CL"/>
        </w:rPr>
      </w:pPr>
    </w:p>
    <w:sectPr w:rsidR="00114D71" w:rsidRPr="00114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129F1"/>
    <w:multiLevelType w:val="multilevel"/>
    <w:tmpl w:val="8A2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374CF"/>
    <w:multiLevelType w:val="multilevel"/>
    <w:tmpl w:val="099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9306E"/>
    <w:multiLevelType w:val="hybridMultilevel"/>
    <w:tmpl w:val="D4B84514"/>
    <w:lvl w:ilvl="0" w:tplc="6436F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45E8B"/>
    <w:multiLevelType w:val="multilevel"/>
    <w:tmpl w:val="75AE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A29F6"/>
    <w:multiLevelType w:val="multilevel"/>
    <w:tmpl w:val="0E0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11459"/>
    <w:multiLevelType w:val="multilevel"/>
    <w:tmpl w:val="945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74"/>
    <w:rsid w:val="00114D71"/>
    <w:rsid w:val="001E6472"/>
    <w:rsid w:val="00273BFC"/>
    <w:rsid w:val="003B3074"/>
    <w:rsid w:val="008B05EC"/>
    <w:rsid w:val="00C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45AE"/>
  <w15:chartTrackingRefBased/>
  <w15:docId w15:val="{4E46FA3A-E55A-4D93-B2E5-D7C88671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07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B05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114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hernan</cp:lastModifiedBy>
  <cp:revision>1</cp:revision>
  <dcterms:created xsi:type="dcterms:W3CDTF">2026-04-07T22:15:00Z</dcterms:created>
  <dcterms:modified xsi:type="dcterms:W3CDTF">2026-04-07T23:47:00Z</dcterms:modified>
</cp:coreProperties>
</file>